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FF0000"/>
          <w:sz w:val="72"/>
          <w:szCs w:val="72"/>
          <w:lang w:val="en-US" w:eastAsia="zh-CN"/>
        </w:rPr>
      </w:pPr>
      <w:r>
        <w:rPr>
          <w:rFonts w:hint="eastAsia" w:ascii="黑体" w:hAnsi="黑体" w:eastAsia="黑体" w:cs="黑体"/>
          <w:b/>
          <w:bCs/>
          <w:color w:val="FF0000"/>
          <w:sz w:val="72"/>
          <w:szCs w:val="72"/>
          <w:lang w:val="en-US" w:eastAsia="zh-CN"/>
        </w:rPr>
        <w:t>机构监管通讯</w:t>
      </w:r>
    </w:p>
    <w:p>
      <w:pPr>
        <w:jc w:val="center"/>
        <w:rPr>
          <w:rFonts w:hint="default"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2024年第1期</w:t>
      </w:r>
      <w:r>
        <w:rPr>
          <w:rFonts w:hint="default" w:ascii="仿宋_GB2312" w:hAnsi="仿宋_GB2312" w:eastAsia="仿宋_GB2312" w:cs="仿宋_GB2312"/>
          <w:b w:val="0"/>
          <w:bCs w:val="0"/>
          <w:sz w:val="32"/>
          <w:szCs w:val="32"/>
          <w:lang w:eastAsia="zh-CN"/>
        </w:rPr>
        <w:t>（总第1期）</w:t>
      </w:r>
    </w:p>
    <w:p>
      <w:pPr>
        <w:jc w:val="center"/>
        <w:rPr>
          <w:rFonts w:hint="eastAsia" w:ascii="黑体" w:hAnsi="黑体" w:eastAsia="黑体" w:cs="黑体"/>
          <w:b w:val="0"/>
          <w:bCs w:val="0"/>
          <w:sz w:val="32"/>
          <w:szCs w:val="32"/>
          <w:lang w:val="en-US" w:eastAsia="zh-CN"/>
        </w:rPr>
      </w:pPr>
      <w:r>
        <w:rPr>
          <w:rFonts w:hint="eastAsia" w:ascii="仿宋_GB2312" w:hAnsi="仿宋_GB2312" w:eastAsia="仿宋_GB2312" w:cs="仿宋_GB2312"/>
          <w:b w:val="0"/>
          <w:bCs w:val="0"/>
          <w:sz w:val="32"/>
          <w:szCs w:val="32"/>
          <w:lang w:val="en-US" w:eastAsia="zh-CN"/>
        </w:rPr>
        <w:t>宁夏证监局                        2024年2月26日</w:t>
      </w:r>
    </w:p>
    <w:p>
      <w:pPr>
        <w:jc w:val="center"/>
        <w:rPr>
          <w:rFonts w:hint="eastAsia" w:ascii="黑体" w:hAnsi="黑体" w:eastAsia="黑体" w:cs="黑体"/>
          <w:b/>
          <w:bCs/>
          <w:sz w:val="48"/>
          <w:szCs w:val="48"/>
          <w:lang w:val="en-US" w:eastAsia="zh-CN"/>
        </w:rPr>
      </w:pPr>
      <w:r>
        <w:rPr>
          <w:sz w:val="48"/>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31115</wp:posOffset>
                </wp:positionV>
                <wp:extent cx="5158105" cy="635"/>
                <wp:effectExtent l="0" t="10795" r="4445" b="17145"/>
                <wp:wrapNone/>
                <wp:docPr id="1" name="直接连接符 1"/>
                <wp:cNvGraphicFramePr/>
                <a:graphic xmlns:a="http://schemas.openxmlformats.org/drawingml/2006/main">
                  <a:graphicData uri="http://schemas.microsoft.com/office/word/2010/wordprocessingShape">
                    <wps:wsp>
                      <wps:cNvCnPr/>
                      <wps:spPr>
                        <a:xfrm>
                          <a:off x="0" y="0"/>
                          <a:ext cx="5158105" cy="635"/>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85pt;margin-top:2.45pt;height:0.05pt;width:406.15pt;z-index:251659264;mso-width-relative:page;mso-height-relative:page;" filled="f" stroked="t" coordsize="21600,21600" o:gfxdata="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LN7G1gAAAAUBAAAPAAAAAAAAAAEAIAAAADgAAABkcnMvZG93bnJldi54bWxQSwECFAAU&#10;AAAACACHTuJA5SCcMd0BAACcAwAADgAAAAAAAAABACAAAAA7AQAAZHJzL2Uyb0RvYy54bWxQSwUG&#10;AAAAAAYABgBZAQAAigUAAAAA&#10;">
                <v:fill on="f" focussize="0,0"/>
                <v:stroke weight="1.75pt" color="#FF0000" joinstyle="round"/>
                <v:imagedata o:title=""/>
                <o:lock v:ext="edit" aspectratio="f"/>
              </v:line>
            </w:pict>
          </mc:Fallback>
        </mc:AlternateContent>
      </w:r>
    </w:p>
    <w:p>
      <w:pPr>
        <w:pStyle w:val="4"/>
        <w:tabs>
          <w:tab w:val="right" w:leader="dot" w:pos="8306"/>
        </w:tabs>
        <w:ind w:left="0" w:leftChars="0" w:right="0" w:rightChars="0" w:firstLine="0" w:firstLineChars="0"/>
        <w:jc w:val="center"/>
        <w:outlineLvl w:val="0"/>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录</w:t>
      </w:r>
      <w:bookmarkStart w:id="27" w:name="_GoBack"/>
      <w:bookmarkEnd w:id="27"/>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黑体" w:hAnsi="黑体" w:eastAsia="黑体" w:cs="黑体"/>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"1-3" \h \u </w:instrText>
      </w:r>
      <w:r>
        <w:rPr>
          <w:rFonts w:hint="eastAsia" w:ascii="仿宋" w:hAnsi="仿宋" w:eastAsia="仿宋" w:cs="仿宋"/>
          <w:sz w:val="32"/>
          <w:szCs w:val="32"/>
        </w:rP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_Toc824731448 </w:instrText>
      </w:r>
      <w:r>
        <w:rPr>
          <w:rFonts w:hint="eastAsia" w:ascii="黑体" w:hAnsi="黑体" w:eastAsia="黑体" w:cs="黑体"/>
          <w:sz w:val="32"/>
          <w:szCs w:val="32"/>
        </w:rPr>
        <w:fldChar w:fldCharType="separate"/>
      </w:r>
      <w:r>
        <w:rPr>
          <w:rFonts w:hint="eastAsia" w:ascii="黑体" w:hAnsi="黑体" w:eastAsia="黑体" w:cs="黑体"/>
          <w:bCs w:val="0"/>
          <w:sz w:val="32"/>
          <w:szCs w:val="32"/>
          <w:lang w:val="en-US" w:eastAsia="zh-CN"/>
        </w:rPr>
        <w:t>【监管要闻】</w:t>
      </w:r>
      <w:r>
        <w:rPr>
          <w:rFonts w:hint="eastAsia" w:ascii="黑体" w:hAnsi="黑体" w:eastAsia="黑体" w:cs="黑体"/>
          <w:sz w:val="32"/>
          <w:szCs w:val="32"/>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 w:hAnsi="仿宋" w:eastAsia="仿宋" w:cs="仿宋"/>
          <w:sz w:val="32"/>
          <w:szCs w:val="32"/>
        </w:rPr>
      </w:pPr>
      <w:r>
        <w:rPr>
          <w:rFonts w:hint="eastAsia" w:ascii="东文宋体" w:hAnsi="东文宋体" w:eastAsia="东文宋体" w:cs="东文宋体"/>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_Toc1154961145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证监会坚持“零容忍”执法，集中处理多名从业人员违法炒股</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_Toc1154961145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 w:hAnsi="仿宋" w:eastAsia="仿宋" w:cs="仿宋"/>
          <w:sz w:val="32"/>
          <w:szCs w:val="32"/>
        </w:rPr>
      </w:pPr>
      <w:r>
        <w:rPr>
          <w:rFonts w:hint="eastAsia" w:ascii="东文宋体" w:hAnsi="东文宋体" w:eastAsia="东文宋体" w:cs="东文宋体"/>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_Toc645790213 </w:instrText>
      </w:r>
      <w:r>
        <w:rPr>
          <w:rFonts w:hint="eastAsia" w:ascii="仿宋" w:hAnsi="仿宋" w:eastAsia="仿宋" w:cs="仿宋"/>
          <w:sz w:val="32"/>
          <w:szCs w:val="32"/>
        </w:rPr>
        <w:fldChar w:fldCharType="separate"/>
      </w:r>
      <w:r>
        <w:rPr>
          <w:rFonts w:hint="eastAsia" w:ascii="仿宋" w:hAnsi="仿宋" w:eastAsia="仿宋" w:cs="仿宋"/>
          <w:w w:val="106"/>
          <w:kern w:val="2"/>
          <w:sz w:val="32"/>
          <w:szCs w:val="32"/>
          <w:lang w:val="en-US" w:eastAsia="zh-CN" w:bidi="ar-SA"/>
        </w:rPr>
        <w:t>证监会进一步加强融券业务监管，全面暂停限售股出借</w:t>
      </w:r>
      <w:r>
        <w:rPr>
          <w:rFonts w:hint="eastAsia" w:ascii="仿宋" w:hAnsi="仿宋" w:eastAsia="仿宋" w:cs="仿宋"/>
          <w:kern w:val="2"/>
          <w:sz w:val="32"/>
          <w:szCs w:val="32"/>
          <w:lang w:val="en-US" w:eastAsia="zh-CN" w:bidi="ar-SA"/>
        </w:rPr>
        <w:br w:type="textWrapping"/>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_Toc645790213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 w:hAnsi="仿宋" w:eastAsia="仿宋" w:cs="仿宋"/>
          <w:sz w:val="32"/>
          <w:szCs w:val="32"/>
        </w:rPr>
      </w:pPr>
      <w:r>
        <w:rPr>
          <w:rFonts w:hint="eastAsia" w:ascii="东文宋体" w:hAnsi="东文宋体" w:eastAsia="东文宋体" w:cs="东文宋体"/>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_Toc276189099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证监会有关部门负责人就融券新规落实情况答记者问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_Toc276189099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 w:hAnsi="仿宋" w:eastAsia="仿宋" w:cs="仿宋"/>
          <w:sz w:val="32"/>
          <w:szCs w:val="32"/>
        </w:rPr>
      </w:pPr>
      <w:r>
        <w:rPr>
          <w:rFonts w:hint="eastAsia" w:ascii="东文宋体" w:hAnsi="东文宋体" w:eastAsia="东文宋体" w:cs="东文宋体"/>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_Toc1746033378 </w:instrText>
      </w:r>
      <w:r>
        <w:rPr>
          <w:rFonts w:hint="eastAsia" w:ascii="仿宋" w:hAnsi="仿宋" w:eastAsia="仿宋" w:cs="仿宋"/>
          <w:sz w:val="32"/>
          <w:szCs w:val="32"/>
        </w:rPr>
        <w:fldChar w:fldCharType="separate"/>
      </w:r>
      <w:r>
        <w:rPr>
          <w:rFonts w:hint="eastAsia" w:ascii="仿宋" w:hAnsi="仿宋" w:eastAsia="仿宋" w:cs="仿宋"/>
          <w:bCs w:val="0"/>
          <w:kern w:val="2"/>
          <w:sz w:val="32"/>
          <w:szCs w:val="32"/>
          <w:lang w:val="en-US" w:eastAsia="zh-CN" w:bidi="ar-SA"/>
        </w:rPr>
        <w:t>严惩操纵市场恶意做空 切实维护市场稳定运行</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_Toc1746033378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 w:hAnsi="仿宋" w:eastAsia="仿宋" w:cs="仿宋"/>
          <w:sz w:val="32"/>
          <w:szCs w:val="32"/>
        </w:rPr>
      </w:pPr>
      <w:r>
        <w:rPr>
          <w:rFonts w:hint="eastAsia" w:ascii="东文宋体" w:hAnsi="东文宋体" w:eastAsia="东文宋体" w:cs="东文宋体"/>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_Toc1166285249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证监会有关部门负责人答记者问（关于商品期货市场量化交易被叫停）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_Toc1166285249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 w:hAnsi="仿宋" w:eastAsia="仿宋" w:cs="仿宋"/>
          <w:sz w:val="32"/>
          <w:szCs w:val="32"/>
        </w:rPr>
      </w:pPr>
      <w:r>
        <w:rPr>
          <w:rFonts w:hint="eastAsia" w:ascii="东文宋体" w:hAnsi="东文宋体" w:eastAsia="东文宋体" w:cs="东文宋体"/>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_Toc1313789099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证监会新闻发言人就“两融”融资业务有关情况答记者问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_Toc1313789099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 w:hAnsi="仿宋" w:eastAsia="仿宋" w:cs="仿宋"/>
          <w:sz w:val="32"/>
          <w:szCs w:val="32"/>
        </w:rPr>
      </w:pPr>
      <w:r>
        <w:rPr>
          <w:rFonts w:hint="eastAsia" w:ascii="东文宋体" w:hAnsi="东文宋体" w:eastAsia="东文宋体" w:cs="东文宋体"/>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_Toc1240401546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证监会新闻发言人就“两融”融券业务有关情况答记者问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_Toc1240401546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_Toc1358856098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【监管动态】</w:t>
      </w:r>
      <w:r>
        <w:rPr>
          <w:rFonts w:hint="eastAsia" w:ascii="黑体" w:hAnsi="黑体" w:eastAsia="黑体" w:cs="黑体"/>
          <w:sz w:val="32"/>
          <w:szCs w:val="32"/>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 w:hAnsi="仿宋" w:eastAsia="仿宋" w:cs="仿宋"/>
          <w:sz w:val="32"/>
          <w:szCs w:val="32"/>
        </w:rPr>
      </w:pPr>
      <w:r>
        <w:rPr>
          <w:rFonts w:hint="eastAsia" w:ascii="东文宋体" w:hAnsi="东文宋体" w:eastAsia="东文宋体" w:cs="东文宋体"/>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_Toc1190493199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宁夏证监局紧抓安全生产工作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_Toc1190493199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 w:hAnsi="仿宋" w:eastAsia="仿宋" w:cs="仿宋"/>
          <w:sz w:val="32"/>
          <w:szCs w:val="32"/>
        </w:rPr>
      </w:pPr>
      <w:r>
        <w:rPr>
          <w:rFonts w:hint="eastAsia" w:ascii="东文宋体" w:hAnsi="东文宋体" w:eastAsia="东文宋体" w:cs="东文宋体"/>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_Toc586624558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宁夏证监局推进行业文化建设走深走实</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_Toc586624558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 w:hAnsi="仿宋" w:eastAsia="仿宋" w:cs="仿宋"/>
          <w:sz w:val="32"/>
          <w:szCs w:val="32"/>
        </w:rPr>
      </w:pPr>
      <w:r>
        <w:rPr>
          <w:rFonts w:hint="eastAsia" w:ascii="东文宋体" w:hAnsi="东文宋体" w:eastAsia="东文宋体" w:cs="东文宋体"/>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_Toc179079482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宁夏证监局提示做好网络和信息安全保障工作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_Toc179079482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_Toc1022643157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【监管执法】</w:t>
      </w:r>
      <w:r>
        <w:rPr>
          <w:rFonts w:hint="eastAsia" w:ascii="黑体" w:hAnsi="黑体" w:eastAsia="黑体" w:cs="黑体"/>
          <w:sz w:val="32"/>
          <w:szCs w:val="32"/>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 w:hAnsi="仿宋" w:eastAsia="仿宋" w:cs="仿宋"/>
          <w:bCs/>
          <w:kern w:val="2"/>
          <w:sz w:val="32"/>
          <w:szCs w:val="32"/>
          <w:lang w:val="en-US" w:eastAsia="zh-CN" w:bidi="ar-SA"/>
        </w:rPr>
      </w:pPr>
      <w:r>
        <w:rPr>
          <w:rFonts w:hint="eastAsia" w:ascii="东文宋体" w:hAnsi="东文宋体" w:eastAsia="东文宋体" w:cs="东文宋体"/>
          <w:sz w:val="32"/>
          <w:szCs w:val="32"/>
        </w:rPr>
        <w:t>◆</w:t>
      </w:r>
      <w:r>
        <w:rPr>
          <w:rFonts w:hint="eastAsia" w:ascii="仿宋" w:hAnsi="仿宋" w:eastAsia="仿宋" w:cs="仿宋"/>
          <w:bCs/>
          <w:kern w:val="2"/>
          <w:sz w:val="32"/>
          <w:szCs w:val="32"/>
          <w:lang w:val="en-US" w:eastAsia="zh-CN" w:bidi="ar-SA"/>
        </w:rPr>
        <w:t>辖区从业人员</w:t>
      </w:r>
      <w:r>
        <w:rPr>
          <w:rFonts w:hint="eastAsia" w:ascii="仿宋" w:hAnsi="仿宋" w:eastAsia="仿宋" w:cs="仿宋"/>
          <w:bCs/>
          <w:kern w:val="2"/>
          <w:sz w:val="32"/>
          <w:szCs w:val="32"/>
          <w:lang w:val="en-US" w:eastAsia="zh-CN" w:bidi="ar-SA"/>
        </w:rPr>
        <w:fldChar w:fldCharType="begin"/>
      </w:r>
      <w:r>
        <w:rPr>
          <w:rFonts w:hint="eastAsia" w:ascii="仿宋" w:hAnsi="仿宋" w:eastAsia="仿宋" w:cs="仿宋"/>
          <w:bCs/>
          <w:kern w:val="2"/>
          <w:sz w:val="32"/>
          <w:szCs w:val="32"/>
          <w:lang w:val="en-US" w:eastAsia="zh-CN" w:bidi="ar-SA"/>
        </w:rPr>
        <w:instrText xml:space="preserve"> HYPERLINK \l _Toc2062641910 </w:instrText>
      </w:r>
      <w:r>
        <w:rPr>
          <w:rFonts w:hint="eastAsia" w:ascii="仿宋" w:hAnsi="仿宋" w:eastAsia="仿宋" w:cs="仿宋"/>
          <w:bCs/>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违规买卖股票被行政处罚............</w:t>
      </w:r>
      <w:r>
        <w:rPr>
          <w:rFonts w:hint="eastAsia" w:ascii="仿宋" w:hAnsi="仿宋" w:eastAsia="仿宋" w:cs="仿宋"/>
          <w:bCs/>
          <w:kern w:val="2"/>
          <w:sz w:val="32"/>
          <w:szCs w:val="32"/>
          <w:lang w:val="en-US" w:eastAsia="zh-CN" w:bidi="ar-SA"/>
        </w:rPr>
        <w:tab/>
      </w:r>
      <w:r>
        <w:rPr>
          <w:rFonts w:hint="eastAsia" w:ascii="仿宋" w:hAnsi="仿宋" w:eastAsia="仿宋" w:cs="仿宋"/>
          <w:bCs/>
          <w:kern w:val="2"/>
          <w:sz w:val="32"/>
          <w:szCs w:val="32"/>
          <w:lang w:val="en-US" w:eastAsia="zh-CN" w:bidi="ar-SA"/>
        </w:rPr>
        <w:fldChar w:fldCharType="begin"/>
      </w:r>
      <w:r>
        <w:rPr>
          <w:rFonts w:hint="eastAsia" w:ascii="仿宋" w:hAnsi="仿宋" w:eastAsia="仿宋" w:cs="仿宋"/>
          <w:bCs/>
          <w:kern w:val="2"/>
          <w:sz w:val="32"/>
          <w:szCs w:val="32"/>
          <w:lang w:val="en-US" w:eastAsia="zh-CN" w:bidi="ar-SA"/>
        </w:rPr>
        <w:instrText xml:space="preserve"> PAGEREF _Toc2062641910 </w:instrText>
      </w:r>
      <w:r>
        <w:rPr>
          <w:rFonts w:hint="eastAsia" w:ascii="仿宋" w:hAnsi="仿宋" w:eastAsia="仿宋" w:cs="仿宋"/>
          <w:bCs/>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12</w:t>
      </w:r>
      <w:r>
        <w:rPr>
          <w:rFonts w:hint="eastAsia" w:ascii="仿宋" w:hAnsi="仿宋" w:eastAsia="仿宋" w:cs="仿宋"/>
          <w:bCs/>
          <w:kern w:val="2"/>
          <w:sz w:val="32"/>
          <w:szCs w:val="32"/>
          <w:lang w:val="en-US" w:eastAsia="zh-CN" w:bidi="ar-SA"/>
        </w:rPr>
        <w:fldChar w:fldCharType="end"/>
      </w:r>
      <w:r>
        <w:rPr>
          <w:rFonts w:hint="eastAsia" w:ascii="仿宋" w:hAnsi="仿宋" w:eastAsia="仿宋" w:cs="仿宋"/>
          <w:bCs/>
          <w:kern w:val="2"/>
          <w:sz w:val="32"/>
          <w:szCs w:val="32"/>
          <w:lang w:val="en-US" w:eastAsia="zh-CN" w:bidi="ar-SA"/>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 w:hAnsi="仿宋" w:eastAsia="仿宋" w:cs="仿宋"/>
          <w:bCs/>
          <w:kern w:val="2"/>
          <w:sz w:val="32"/>
          <w:szCs w:val="32"/>
          <w:lang w:val="en-US" w:eastAsia="zh-CN" w:bidi="ar-SA"/>
        </w:rPr>
      </w:pPr>
      <w:r>
        <w:rPr>
          <w:rFonts w:hint="eastAsia" w:ascii="东文宋体" w:hAnsi="东文宋体" w:eastAsia="东文宋体" w:cs="东文宋体"/>
          <w:sz w:val="32"/>
          <w:szCs w:val="32"/>
        </w:rPr>
        <w:t>◆</w:t>
      </w:r>
      <w:r>
        <w:rPr>
          <w:rFonts w:hint="eastAsia" w:ascii="仿宋" w:hAnsi="仿宋" w:eastAsia="仿宋" w:cs="仿宋"/>
          <w:bCs/>
          <w:kern w:val="2"/>
          <w:sz w:val="32"/>
          <w:szCs w:val="32"/>
          <w:lang w:val="en-US" w:eastAsia="zh-CN" w:bidi="ar-SA"/>
        </w:rPr>
        <w:t>辖区从业人员</w:t>
      </w:r>
      <w:r>
        <w:rPr>
          <w:rFonts w:hint="eastAsia" w:ascii="仿宋" w:hAnsi="仿宋" w:eastAsia="仿宋" w:cs="仿宋"/>
          <w:bCs/>
          <w:kern w:val="2"/>
          <w:sz w:val="32"/>
          <w:szCs w:val="32"/>
          <w:lang w:val="en-US" w:eastAsia="zh-CN" w:bidi="ar-SA"/>
        </w:rPr>
        <w:fldChar w:fldCharType="begin"/>
      </w:r>
      <w:r>
        <w:rPr>
          <w:rFonts w:hint="eastAsia" w:ascii="仿宋" w:hAnsi="仿宋" w:eastAsia="仿宋" w:cs="仿宋"/>
          <w:bCs/>
          <w:kern w:val="2"/>
          <w:sz w:val="32"/>
          <w:szCs w:val="32"/>
          <w:lang w:val="en-US" w:eastAsia="zh-CN" w:bidi="ar-SA"/>
        </w:rPr>
        <w:instrText xml:space="preserve"> HYPERLINK \l _Toc2062641910 </w:instrText>
      </w:r>
      <w:r>
        <w:rPr>
          <w:rFonts w:hint="eastAsia" w:ascii="仿宋" w:hAnsi="仿宋" w:eastAsia="仿宋" w:cs="仿宋"/>
          <w:bCs/>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私下接受客户委托买卖证券被行政处罚</w:t>
      </w:r>
      <w:r>
        <w:rPr>
          <w:rFonts w:hint="eastAsia" w:ascii="仿宋" w:hAnsi="仿宋" w:eastAsia="仿宋" w:cs="仿宋"/>
          <w:bCs/>
          <w:kern w:val="2"/>
          <w:sz w:val="32"/>
          <w:szCs w:val="32"/>
          <w:lang w:val="en-US" w:eastAsia="zh-CN" w:bidi="ar-SA"/>
        </w:rPr>
        <w:tab/>
      </w:r>
      <w:r>
        <w:rPr>
          <w:rFonts w:hint="eastAsia" w:ascii="仿宋" w:hAnsi="仿宋" w:eastAsia="仿宋" w:cs="仿宋"/>
          <w:bCs/>
          <w:kern w:val="2"/>
          <w:sz w:val="32"/>
          <w:szCs w:val="32"/>
          <w:lang w:val="en-US" w:eastAsia="zh-CN" w:bidi="ar-SA"/>
        </w:rPr>
        <w:fldChar w:fldCharType="begin"/>
      </w:r>
      <w:r>
        <w:rPr>
          <w:rFonts w:hint="eastAsia" w:ascii="仿宋" w:hAnsi="仿宋" w:eastAsia="仿宋" w:cs="仿宋"/>
          <w:bCs/>
          <w:kern w:val="2"/>
          <w:sz w:val="32"/>
          <w:szCs w:val="32"/>
          <w:lang w:val="en-US" w:eastAsia="zh-CN" w:bidi="ar-SA"/>
        </w:rPr>
        <w:instrText xml:space="preserve"> PAGEREF _Toc2062641910 </w:instrText>
      </w:r>
      <w:r>
        <w:rPr>
          <w:rFonts w:hint="eastAsia" w:ascii="仿宋" w:hAnsi="仿宋" w:eastAsia="仿宋" w:cs="仿宋"/>
          <w:bCs/>
          <w:kern w:val="2"/>
          <w:sz w:val="32"/>
          <w:szCs w:val="32"/>
          <w:lang w:val="en-US" w:eastAsia="zh-CN" w:bidi="ar-SA"/>
        </w:rPr>
        <w:fldChar w:fldCharType="separate"/>
      </w:r>
      <w:r>
        <w:rPr>
          <w:rFonts w:hint="eastAsia" w:ascii="仿宋" w:hAnsi="仿宋" w:eastAsia="仿宋" w:cs="仿宋"/>
          <w:bCs/>
          <w:kern w:val="2"/>
          <w:sz w:val="32"/>
          <w:szCs w:val="32"/>
          <w:lang w:val="en-US" w:eastAsia="zh-CN" w:bidi="ar-SA"/>
        </w:rPr>
        <w:t>12</w:t>
      </w:r>
      <w:r>
        <w:rPr>
          <w:rFonts w:hint="eastAsia" w:ascii="仿宋" w:hAnsi="仿宋" w:eastAsia="仿宋" w:cs="仿宋"/>
          <w:bCs/>
          <w:kern w:val="2"/>
          <w:sz w:val="32"/>
          <w:szCs w:val="32"/>
          <w:lang w:val="en-US" w:eastAsia="zh-CN" w:bidi="ar-SA"/>
        </w:rPr>
        <w:fldChar w:fldCharType="end"/>
      </w:r>
      <w:r>
        <w:rPr>
          <w:rFonts w:hint="eastAsia" w:ascii="仿宋" w:hAnsi="仿宋" w:eastAsia="仿宋" w:cs="仿宋"/>
          <w:bCs/>
          <w:kern w:val="2"/>
          <w:sz w:val="32"/>
          <w:szCs w:val="32"/>
          <w:lang w:val="en-US" w:eastAsia="zh-CN" w:bidi="ar-SA"/>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_Toc1811865115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w:t>
      </w:r>
      <w:r>
        <w:rPr>
          <w:rFonts w:hint="default" w:ascii="黑体" w:hAnsi="黑体" w:eastAsia="黑体" w:cs="黑体"/>
          <w:sz w:val="32"/>
          <w:szCs w:val="32"/>
          <w:lang w:eastAsia="zh-CN"/>
        </w:rPr>
        <w:t>监管</w:t>
      </w:r>
      <w:r>
        <w:rPr>
          <w:rFonts w:hint="eastAsia" w:ascii="黑体" w:hAnsi="黑体" w:eastAsia="黑体" w:cs="黑体"/>
          <w:sz w:val="32"/>
          <w:szCs w:val="32"/>
          <w:lang w:val="en-US" w:eastAsia="zh-CN"/>
        </w:rPr>
        <w:t>案例】</w:t>
      </w:r>
      <w:r>
        <w:rPr>
          <w:rFonts w:hint="eastAsia" w:ascii="黑体" w:hAnsi="黑体" w:eastAsia="黑体" w:cs="黑体"/>
          <w:sz w:val="32"/>
          <w:szCs w:val="32"/>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 w:hAnsi="仿宋" w:eastAsia="仿宋" w:cs="仿宋"/>
          <w:sz w:val="32"/>
          <w:szCs w:val="32"/>
          <w:lang w:val="en-US" w:eastAsia="zh-CN"/>
        </w:rPr>
      </w:pPr>
      <w:r>
        <w:rPr>
          <w:rFonts w:hint="eastAsia" w:ascii="东文宋体" w:hAnsi="东文宋体" w:eastAsia="东文宋体" w:cs="东文宋体"/>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_Toc673421467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近年从业人员炒股违规典型案例</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13</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b w:val="0"/>
          <w:bCs w:val="0"/>
          <w:sz w:val="32"/>
          <w:szCs w:val="32"/>
          <w:lang w:val="en-US" w:eastAsia="zh-CN"/>
        </w:rPr>
      </w:pPr>
      <w:r>
        <w:rPr>
          <w:rFonts w:hint="eastAsia" w:ascii="仿宋" w:hAnsi="仿宋" w:eastAsia="仿宋" w:cs="仿宋"/>
          <w:sz w:val="32"/>
          <w:szCs w:val="32"/>
        </w:rPr>
        <w:fldChar w:fldCharType="end"/>
      </w:r>
      <w:r>
        <w:rPr>
          <w:rFonts w:hint="eastAsia" w:ascii="方正小标宋_GBK" w:hAnsi="方正小标宋_GBK" w:eastAsia="方正小标宋_GBK" w:cs="方正小标宋_GBK"/>
          <w:kern w:val="2"/>
          <w:sz w:val="21"/>
          <w:szCs w:val="32"/>
          <w:lang w:val="en-US" w:eastAsia="zh-CN" w:bidi="ar-SA"/>
        </w:rPr>
        <w:br w:type="page"/>
      </w:r>
      <w:bookmarkStart w:id="0" w:name="_Toc824731448"/>
      <w:bookmarkStart w:id="1" w:name="_Toc777130255"/>
      <w:bookmarkStart w:id="2" w:name="_Toc811634328"/>
      <w:r>
        <w:rPr>
          <w:rFonts w:hint="eastAsia" w:ascii="黑体" w:hAnsi="黑体" w:eastAsia="黑体" w:cs="黑体"/>
          <w:b w:val="0"/>
          <w:bCs w:val="0"/>
          <w:sz w:val="32"/>
          <w:szCs w:val="32"/>
          <w:lang w:val="en-US" w:eastAsia="zh-CN"/>
        </w:rPr>
        <w:t>【监管要闻】</w:t>
      </w:r>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0"/>
        <w:rPr>
          <w:rFonts w:hint="eastAsia" w:ascii="黑体" w:hAnsi="黑体" w:eastAsia="黑体" w:cs="黑体"/>
          <w:sz w:val="32"/>
          <w:szCs w:val="32"/>
          <w:lang w:val="en-US" w:eastAsia="zh-CN"/>
        </w:rPr>
      </w:pPr>
      <w:bookmarkStart w:id="3" w:name="_Toc1154961145"/>
      <w:r>
        <w:rPr>
          <w:rFonts w:hint="eastAsia" w:ascii="黑体" w:hAnsi="黑体" w:eastAsia="黑体" w:cs="黑体"/>
          <w:sz w:val="32"/>
          <w:szCs w:val="32"/>
          <w:lang w:val="en-US" w:eastAsia="zh-CN"/>
        </w:rPr>
        <w:t>一、证监会坚持“零容忍”执法，集中处理多名从业人员违法炒股</w:t>
      </w:r>
      <w:bookmarkEnd w:id="1"/>
      <w:r>
        <w:rPr>
          <w:rFonts w:hint="eastAsia" w:ascii="黑体" w:hAnsi="黑体" w:eastAsia="黑体" w:cs="黑体"/>
          <w:sz w:val="32"/>
          <w:szCs w:val="32"/>
          <w:lang w:val="en-US" w:eastAsia="zh-CN"/>
        </w:rPr>
        <w:t>（2024年2月6日）</w:t>
      </w:r>
      <w:bookmarkEnd w:id="3"/>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深入贯彻中央金融工作会精神，全面加强金融监管，坚持监管“长牙带刺”，近日，我会组织稽查执法、日常监管力量集中查办了招商证券多名从业人员买卖股票等违法违规行为。依托刑事追责、行政处罚、行政监管措施、内部问责进行立体化惩戒。一是对63人作出行政处罚，合计罚没8173万元，对1人作出终身证券市场禁入措施。二是将1人涉嫌内幕交易行为移送司法机关处理。三是对46人采取行政监管措施，其中拟对3人采取认定为不适当人选，对5人采取监管谈话、38人采取出具警示函。四是对负有从业人员管理责任的招商证券，采取责令增加合规检查次数的行政监管措施，对公司董事长采取出具警示函、2名时任合规总监采取监管谈话的行政监管措施，并督促招商证券启动内部问责，约谈相关违规人员，落实问责全覆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9"/>
        <w:rPr>
          <w:rFonts w:hint="default"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证券从业人员不得买卖股票是《证券法》的基本要求。近年来，我会严厉打击证券从业人员违规买卖股票行为。2019年至2023年，共查办67起从业人员违法炒股案件，对139人作出行政处罚，着力构筑“不敢、不能、不想”违规炒股的长效机制。下一步，我会将坚持系统思维、举一反三，持续强化机构监管、行为监管、功能监管、穿透式监管、持续监管，协同行业协会持续深入开展以下工作：一是完善制度机制。制定依法从严打击证券从业人员违规炒股行为的专项整治工作方案，压实机构主体责任，督促证券公司强化内部监测、自查自纠及问责机制，落实全员合规管理，实现对各分支机构及从业人员的一体化垂直管理，各证监局将开展专项现场检查。完善从业人员投资行为管理规则，督促机构健全投资申报、审查、监控、惩戒等内控制度，完善投资行为管理机制，进一步堵塞证券从业人员监管制度及执行中的漏洞。二是强化监管执法。对违规行为“露头就打”，对管控不力的机构从严问责，对违规人员强化立体化惩戒体系，构建“一处违规、处处受限”的惩戒机制，加强违规行为的通报警示，开展专项治理行动。三是持续净化行业生态。坚持“两个结合”，深入开展行业文化建设综合治理，督促机构切实做到“不逾越底线、不唯利是图、不急功近利、不脱实向虚、不胡作非为”，坚持诚实守信、以义取利、稳健审慎、守正创新、依法合规。完善从业人员执业行为基本规范和操守准则，建立健全从业人员分类名单制度和执业声誉管理机制，加快形成从业人员管理“严”的氛围。</w:t>
      </w:r>
      <w:r>
        <w:rPr>
          <w:rFonts w:hint="default" w:ascii="仿宋" w:hAnsi="仿宋" w:eastAsia="仿宋" w:cs="仿宋"/>
          <w:b w:val="0"/>
          <w:bCs w:val="0"/>
          <w:sz w:val="32"/>
          <w:szCs w:val="32"/>
          <w:lang w:eastAsia="zh-CN"/>
        </w:rPr>
        <w:t>（来源：证监会</w:t>
      </w:r>
      <w:r>
        <w:rPr>
          <w:rFonts w:hint="eastAsia" w:ascii="仿宋" w:hAnsi="仿宋" w:eastAsia="仿宋" w:cs="仿宋"/>
          <w:b w:val="0"/>
          <w:bCs w:val="0"/>
          <w:sz w:val="32"/>
          <w:szCs w:val="32"/>
          <w:lang w:eastAsia="zh-CN"/>
        </w:rPr>
        <w:t>官网</w:t>
      </w:r>
      <w:r>
        <w:rPr>
          <w:rFonts w:hint="default"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0"/>
        <w:rPr>
          <w:rFonts w:hint="eastAsia" w:ascii="黑体" w:hAnsi="黑体" w:eastAsia="黑体" w:cs="黑体"/>
          <w:sz w:val="32"/>
          <w:szCs w:val="32"/>
          <w:lang w:val="en-US" w:eastAsia="zh-CN"/>
        </w:rPr>
      </w:pPr>
      <w:bookmarkStart w:id="4" w:name="_Toc1657745702"/>
      <w:bookmarkStart w:id="5" w:name="_Toc645790213"/>
      <w:r>
        <w:rPr>
          <w:rFonts w:hint="eastAsia" w:ascii="黑体" w:hAnsi="黑体" w:eastAsia="黑体" w:cs="黑体"/>
          <w:b w:val="0"/>
          <w:color w:val="auto"/>
          <w:kern w:val="2"/>
          <w:sz w:val="32"/>
          <w:szCs w:val="32"/>
          <w:lang w:val="en-US" w:eastAsia="zh-CN" w:bidi="ar-SA"/>
        </w:rPr>
        <w:t>二、证监会进一步加强融券业务监管，全面暂停限售股出借</w:t>
      </w:r>
      <w:bookmarkEnd w:id="4"/>
      <w:r>
        <w:rPr>
          <w:rFonts w:hint="eastAsia" w:ascii="黑体" w:hAnsi="黑体" w:eastAsia="黑体" w:cs="黑体"/>
          <w:sz w:val="32"/>
          <w:szCs w:val="32"/>
          <w:lang w:val="en-US" w:eastAsia="zh-CN"/>
        </w:rPr>
        <w:t>（2024年1月28日）</w:t>
      </w:r>
      <w:bookmarkEnd w:id="5"/>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为贯彻以投资者为本的监管理念，加强对限售股出借的监管，证监会经充分论证评估，进一步优化了融券机制。具体包括：</w:t>
      </w:r>
      <w:r>
        <w:rPr>
          <w:rFonts w:hint="eastAsia" w:ascii="仿宋" w:hAnsi="仿宋" w:eastAsia="仿宋" w:cs="仿宋"/>
          <w:b w:val="0"/>
          <w:bCs w:val="0"/>
          <w:kern w:val="0"/>
          <w:sz w:val="32"/>
          <w:szCs w:val="32"/>
          <w:lang w:val="en-US" w:eastAsia="zh-CN" w:bidi="ar"/>
        </w:rPr>
        <w:t>一是</w:t>
      </w:r>
      <w:r>
        <w:rPr>
          <w:rFonts w:hint="eastAsia" w:ascii="仿宋" w:hAnsi="仿宋" w:eastAsia="仿宋" w:cs="仿宋"/>
          <w:kern w:val="0"/>
          <w:sz w:val="32"/>
          <w:szCs w:val="32"/>
          <w:lang w:val="en-US" w:eastAsia="zh-CN" w:bidi="ar"/>
        </w:rPr>
        <w:t>全面暂停限售股出借；</w:t>
      </w:r>
      <w:r>
        <w:rPr>
          <w:rFonts w:hint="eastAsia" w:ascii="仿宋" w:hAnsi="仿宋" w:eastAsia="仿宋" w:cs="仿宋"/>
          <w:b w:val="0"/>
          <w:bCs w:val="0"/>
          <w:kern w:val="0"/>
          <w:sz w:val="32"/>
          <w:szCs w:val="32"/>
          <w:lang w:val="en-US" w:eastAsia="zh-CN" w:bidi="ar"/>
        </w:rPr>
        <w:t>二是</w:t>
      </w:r>
      <w:r>
        <w:rPr>
          <w:rFonts w:hint="eastAsia" w:ascii="仿宋" w:hAnsi="仿宋" w:eastAsia="仿宋" w:cs="仿宋"/>
          <w:kern w:val="0"/>
          <w:sz w:val="32"/>
          <w:szCs w:val="32"/>
          <w:lang w:val="en-US" w:eastAsia="zh-CN" w:bidi="ar"/>
        </w:rPr>
        <w:t>将转融券市场化约定申报由实时可用调整为次日可用，对融券效率进行限制。因涉及系统调整等因素，第一项措施自1月29日起实施，第二项措施自3月18日起实施。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2023年10月，证监会取消上市公司高管及核心员工通过参与战略配售设立的专项资产管理计划出借，并限制其他战略投资者在上市初期的出借方式和比例，新规实施以来，战略投资者出借余额降幅近四成，取得良好效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在总结前期优化融券机制安排经验的基础上，按照“稳妥推进、分步实施”的思路，此次证监会优化融券机制，主要体现以下监管意图：一是突出公平合理，降低融券效率，制约机构在信息、工具运用方面的优势，给各类投资者更充足的时间消化市场信息，营造更加公平的市场秩序。二是突出从严监管，阶段性限制所有限售股出借，进一步加强对限售股融券监管，同时，坚决打击借融券之名行绕道减持、套现之实的违法违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outlineLvl w:val="9"/>
        <w:rPr>
          <w:rFonts w:hint="default" w:ascii="仿宋" w:hAnsi="仿宋" w:eastAsia="仿宋" w:cs="仿宋"/>
          <w:b w:val="0"/>
          <w:bCs w:val="0"/>
          <w:sz w:val="32"/>
          <w:szCs w:val="32"/>
          <w:lang w:eastAsia="zh-CN"/>
        </w:rPr>
      </w:pPr>
      <w:r>
        <w:rPr>
          <w:rFonts w:hint="eastAsia" w:ascii="仿宋" w:hAnsi="仿宋" w:eastAsia="仿宋" w:cs="仿宋"/>
          <w:kern w:val="0"/>
          <w:sz w:val="32"/>
          <w:szCs w:val="32"/>
          <w:lang w:val="en-US" w:eastAsia="zh-CN" w:bidi="ar"/>
        </w:rPr>
        <w:t>下一步，证监会将持续强化监管，把制度的公平性放在更加突出位置，及时总结评估运行效果，依法维护市场秩序，切实保护广大投资者的合法权益。</w:t>
      </w:r>
      <w:r>
        <w:rPr>
          <w:rFonts w:hint="default" w:ascii="仿宋" w:hAnsi="仿宋" w:eastAsia="仿宋" w:cs="仿宋"/>
          <w:b w:val="0"/>
          <w:bCs w:val="0"/>
          <w:sz w:val="32"/>
          <w:szCs w:val="32"/>
          <w:lang w:eastAsia="zh-CN"/>
        </w:rPr>
        <w:t>（来源：证监会</w:t>
      </w:r>
      <w:r>
        <w:rPr>
          <w:rFonts w:hint="eastAsia" w:ascii="仿宋" w:hAnsi="仿宋" w:eastAsia="仿宋" w:cs="仿宋"/>
          <w:b w:val="0"/>
          <w:bCs w:val="0"/>
          <w:sz w:val="32"/>
          <w:szCs w:val="32"/>
          <w:lang w:eastAsia="zh-CN"/>
        </w:rPr>
        <w:t>官网</w:t>
      </w:r>
      <w:r>
        <w:rPr>
          <w:rFonts w:hint="default"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0"/>
        <w:rPr>
          <w:rFonts w:hint="eastAsia" w:ascii="黑体" w:hAnsi="黑体" w:eastAsia="黑体" w:cs="黑体"/>
          <w:sz w:val="32"/>
          <w:szCs w:val="32"/>
          <w:lang w:val="en-US" w:eastAsia="zh-CN"/>
        </w:rPr>
      </w:pPr>
      <w:bookmarkStart w:id="6" w:name="_Toc276189099"/>
      <w:r>
        <w:rPr>
          <w:rFonts w:hint="eastAsia" w:ascii="黑体" w:hAnsi="黑体" w:eastAsia="黑体" w:cs="黑体"/>
          <w:b w:val="0"/>
          <w:color w:val="auto"/>
          <w:kern w:val="2"/>
          <w:sz w:val="32"/>
          <w:szCs w:val="32"/>
          <w:lang w:val="en-US" w:eastAsia="zh-CN" w:bidi="ar-SA"/>
        </w:rPr>
        <w:t>三、证监会有关部门负责人就融券新规落实情况答记者问</w:t>
      </w:r>
      <w:r>
        <w:rPr>
          <w:rFonts w:hint="eastAsia" w:ascii="黑体" w:hAnsi="黑体" w:eastAsia="黑体" w:cs="黑体"/>
          <w:sz w:val="32"/>
          <w:szCs w:val="32"/>
          <w:lang w:val="en-US" w:eastAsia="zh-CN"/>
        </w:rPr>
        <w:t>（2023年12月27日）</w:t>
      </w:r>
      <w:bookmarkEnd w:id="6"/>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b/>
          <w:bCs/>
          <w:kern w:val="0"/>
          <w:sz w:val="32"/>
          <w:szCs w:val="32"/>
          <w:lang w:val="en-US" w:eastAsia="zh-CN" w:bidi="ar"/>
        </w:rPr>
        <w:t>问：近日，有媒体报道券商落地“限售股不得融券”新规，各家券商对客户约束的情况不一，证监会对此有何评价？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答：10月14日，沪深北交易所发布《关于优化融券交易和转融通证券出借交易相关安排的通知》，明确“投资者持有上市公司限售股份、战略配售股份，以及持有以大宗交易方式受让的大股东或者特定股东减持股份等有转让限制的股份的，在限制期内，投资者及其关联方不得融券卖出该上市公司股票”，进一步完善了“限售股不得融券”的要求。同时要求证券公司应当按照穿透原则核查投资者情况，对投资者的相关交易行为进行前端控制，严禁参与违规或为违规提供便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新规发布后，监管部门和行业协会通过发布通知、现场检查、行业培训等多种方式，督促证券公司落实新规要求。证券公司通过发布公告、修改合同、签署承诺书等方式将新规要求告知投资者，并抓紧完善系统，加强业务管控，在系统改造完成前，安排专人做好交易申报和前端控制，目前部分公司已上线新系统。整体来看，多数证券公司在落实新规要求上基本到位，但现场检查也发现个别证券公司存在关联方核查不够深入等问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下一步，证监会将按照中央金融工作会议要求，全面强化穿透式监管，一方面压实证券公司责任，督促证券公司按照“看不清，不展业”的要求，加强对客户交易行为和交易目的的穿透式管理，严禁参与违规或为违规提供便利，切实提高业务水平。另一方面强化监管执法，建立健全穿透式监管的工作机制，对通过多层嵌套、合谋交易、串联套利等方式违反“限售股不得融券”等要求的行为从严打击，发现一起，查处一起，也欢迎各市场参与方共同监督规定执行。</w:t>
      </w:r>
      <w:r>
        <w:rPr>
          <w:rFonts w:hint="default" w:ascii="仿宋" w:hAnsi="仿宋" w:eastAsia="仿宋" w:cs="仿宋"/>
          <w:b w:val="0"/>
          <w:bCs w:val="0"/>
          <w:sz w:val="32"/>
          <w:szCs w:val="32"/>
          <w:lang w:eastAsia="zh-CN"/>
        </w:rPr>
        <w:t>（来源：证监会</w:t>
      </w:r>
      <w:r>
        <w:rPr>
          <w:rFonts w:hint="eastAsia" w:ascii="仿宋" w:hAnsi="仿宋" w:eastAsia="仿宋" w:cs="仿宋"/>
          <w:b w:val="0"/>
          <w:bCs w:val="0"/>
          <w:sz w:val="32"/>
          <w:szCs w:val="32"/>
          <w:lang w:eastAsia="zh-CN"/>
        </w:rPr>
        <w:t>官网</w:t>
      </w:r>
      <w:r>
        <w:rPr>
          <w:rFonts w:hint="default"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0"/>
        <w:rPr>
          <w:rFonts w:hint="eastAsia" w:ascii="黑体" w:hAnsi="黑体" w:eastAsia="黑体" w:cs="黑体"/>
          <w:b w:val="0"/>
          <w:bCs w:val="0"/>
          <w:sz w:val="32"/>
          <w:szCs w:val="32"/>
          <w:lang w:val="en-US" w:eastAsia="zh-CN"/>
        </w:rPr>
      </w:pPr>
      <w:bookmarkStart w:id="7" w:name="_Toc643156253"/>
      <w:bookmarkStart w:id="8" w:name="_Toc1746033378"/>
      <w:r>
        <w:rPr>
          <w:rFonts w:hint="eastAsia" w:ascii="黑体" w:hAnsi="黑体" w:eastAsia="黑体" w:cs="黑体"/>
          <w:b w:val="0"/>
          <w:bCs w:val="0"/>
          <w:color w:val="auto"/>
          <w:kern w:val="2"/>
          <w:sz w:val="32"/>
          <w:szCs w:val="32"/>
          <w:lang w:val="en-US" w:eastAsia="zh-CN" w:bidi="ar-SA"/>
        </w:rPr>
        <w:t>四、严惩操纵市场恶意做空 切实维护市场稳定运行</w:t>
      </w:r>
      <w:bookmarkEnd w:id="7"/>
      <w:r>
        <w:rPr>
          <w:rFonts w:hint="eastAsia" w:ascii="黑体" w:hAnsi="黑体" w:eastAsia="黑体" w:cs="黑体"/>
          <w:b w:val="0"/>
          <w:bCs w:val="0"/>
          <w:sz w:val="32"/>
          <w:szCs w:val="32"/>
          <w:lang w:val="en-US" w:eastAsia="zh-CN"/>
        </w:rPr>
        <w:t>（2024年2月5日）</w:t>
      </w:r>
      <w:bookmarkEnd w:id="8"/>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近期股市持续波动，部分不法分子非法牟利，损害投资者合法权益，我会加大交易行为监管力度，丰富线索筛查手段，统筹安排专项核查，加强“穿透式”交易监控，运用多维技术手段收集市场情报，会同公安部开展联合研判，发现多起涉嫌操纵市场恶意做空案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某违法团伙控制100余个证券账户操纵某股票，利用连续拉抬、对倒交易等手法影响股价，其后又伺机清仓式砸盘出货，导致个股价格盘中闪崩、连续跌停，累计卖出27亿元，非法获利约1.3亿元。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某投资机构实控人通过打压股价、低位吸筹、连续拉抬等手法操纵20余只股票价格，导致个股价格快速波动，甚至日内出现“天地板”等极端行情，从中交易非法获利1.4亿元。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某违法分子利用资金优势，动用数亿元在期货交易所众多期货产品频繁虚假报单，制造交易假象，诱骗其他投资者，并借机卖出获利4000余万元。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证监会坚持对影响股市稳定运行、损害投资者合法权益的违法行为快速反应、坚决查处，会同公安机关迅速开展收网行动，严肃依法追责。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操纵市场恶意做空，严重侵蚀老百姓的“钱袋子”，已经站到了全体股民的对立面，扰乱股市健康稳定运行的正常节奏。证监会将保持“零容忍”高压态势，坚决重拳打击，让胆敢违法操纵、恶意做空者“倾家荡产、牢底坐穿”。在此警示，莫要以身试法、火中取栗。</w:t>
      </w:r>
      <w:r>
        <w:rPr>
          <w:rFonts w:hint="default" w:ascii="仿宋" w:hAnsi="仿宋" w:eastAsia="仿宋" w:cs="仿宋"/>
          <w:b w:val="0"/>
          <w:bCs w:val="0"/>
          <w:sz w:val="32"/>
          <w:szCs w:val="32"/>
          <w:lang w:eastAsia="zh-CN"/>
        </w:rPr>
        <w:t>（来源：证监会</w:t>
      </w:r>
      <w:r>
        <w:rPr>
          <w:rFonts w:hint="eastAsia" w:ascii="仿宋" w:hAnsi="仿宋" w:eastAsia="仿宋" w:cs="仿宋"/>
          <w:b w:val="0"/>
          <w:bCs w:val="0"/>
          <w:sz w:val="32"/>
          <w:szCs w:val="32"/>
          <w:lang w:eastAsia="zh-CN"/>
        </w:rPr>
        <w:t>官网</w:t>
      </w:r>
      <w:r>
        <w:rPr>
          <w:rFonts w:hint="default"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0"/>
        <w:rPr>
          <w:rFonts w:hint="eastAsia" w:ascii="黑体" w:hAnsi="黑体" w:eastAsia="黑体" w:cs="黑体"/>
          <w:sz w:val="32"/>
          <w:szCs w:val="32"/>
          <w:lang w:val="en-US" w:eastAsia="zh-CN"/>
        </w:rPr>
      </w:pPr>
      <w:bookmarkStart w:id="9" w:name="_Toc1166285249"/>
      <w:r>
        <w:rPr>
          <w:rFonts w:hint="eastAsia" w:ascii="黑体" w:hAnsi="黑体" w:eastAsia="黑体" w:cs="黑体"/>
          <w:b w:val="0"/>
          <w:color w:val="auto"/>
          <w:kern w:val="2"/>
          <w:sz w:val="32"/>
          <w:szCs w:val="32"/>
          <w:lang w:val="en-US" w:eastAsia="zh-CN" w:bidi="ar-SA"/>
        </w:rPr>
        <w:t>五、证监会有关部门负责人答记者问</w:t>
      </w:r>
      <w:r>
        <w:rPr>
          <w:rFonts w:hint="eastAsia" w:ascii="黑体" w:hAnsi="黑体" w:eastAsia="黑体" w:cs="黑体"/>
          <w:sz w:val="32"/>
          <w:szCs w:val="32"/>
          <w:lang w:val="en-US" w:eastAsia="zh-CN"/>
        </w:rPr>
        <w:t>（2024年1月4日）</w:t>
      </w:r>
      <w:bookmarkEnd w:id="9"/>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b/>
          <w:bCs/>
          <w:kern w:val="0"/>
          <w:sz w:val="32"/>
          <w:szCs w:val="32"/>
          <w:lang w:val="en-US" w:eastAsia="zh-CN" w:bidi="ar"/>
        </w:rPr>
        <w:t>问：近日，有媒体报道，“商品期货市场量化交易被叫停”，证监会对此有何评价？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答：我会已关注到相关报道，相关市场传闻为不实消息。商品期货市场手续费减收政策实行多年，各商品期货交易所依规向期货公司减收一定幅度的手续费。2024年，为加强交易监管，维护“三公”的市场秩序，各商品期货交易所将对手续费减收政策进行优化调整，对达到一定标准的程序化交易客户实行差异化手续费减收政策，并非叫停期货市场的程序化交易。</w:t>
      </w:r>
      <w:r>
        <w:rPr>
          <w:rFonts w:hint="default" w:ascii="仿宋" w:hAnsi="仿宋" w:eastAsia="仿宋" w:cs="仿宋"/>
          <w:b w:val="0"/>
          <w:bCs w:val="0"/>
          <w:sz w:val="32"/>
          <w:szCs w:val="32"/>
          <w:lang w:eastAsia="zh-CN"/>
        </w:rPr>
        <w:t>（来源：证监会</w:t>
      </w:r>
      <w:r>
        <w:rPr>
          <w:rFonts w:hint="eastAsia" w:ascii="仿宋" w:hAnsi="仿宋" w:eastAsia="仿宋" w:cs="仿宋"/>
          <w:b w:val="0"/>
          <w:bCs w:val="0"/>
          <w:sz w:val="32"/>
          <w:szCs w:val="32"/>
          <w:lang w:eastAsia="zh-CN"/>
        </w:rPr>
        <w:t>官网</w:t>
      </w:r>
      <w:r>
        <w:rPr>
          <w:rFonts w:hint="default" w:ascii="仿宋" w:hAnsi="仿宋" w:eastAsia="仿宋" w:cs="仿宋"/>
          <w:b w:val="0"/>
          <w:bCs w:val="0"/>
          <w:sz w:val="32"/>
          <w:szCs w:val="32"/>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240" w:lineRule="auto"/>
        <w:ind w:left="0" w:right="0" w:firstLine="640" w:firstLineChars="200"/>
        <w:jc w:val="both"/>
        <w:textAlignment w:val="auto"/>
        <w:outlineLvl w:val="0"/>
        <w:rPr>
          <w:rFonts w:hint="eastAsia" w:ascii="黑体" w:hAnsi="黑体" w:eastAsia="黑体" w:cs="黑体"/>
          <w:b w:val="0"/>
          <w:color w:val="auto"/>
          <w:kern w:val="2"/>
          <w:sz w:val="32"/>
          <w:szCs w:val="32"/>
          <w:lang w:val="en-US" w:eastAsia="zh-CN" w:bidi="ar-SA"/>
        </w:rPr>
      </w:pPr>
      <w:bookmarkStart w:id="10" w:name="_Toc1366325696"/>
      <w:bookmarkStart w:id="11" w:name="_Toc1313789099"/>
      <w:r>
        <w:rPr>
          <w:rFonts w:hint="eastAsia" w:ascii="黑体" w:hAnsi="黑体" w:eastAsia="黑体" w:cs="黑体"/>
          <w:b w:val="0"/>
          <w:color w:val="auto"/>
          <w:kern w:val="2"/>
          <w:sz w:val="32"/>
          <w:szCs w:val="32"/>
          <w:lang w:val="en-US" w:eastAsia="zh-CN" w:bidi="ar-SA"/>
        </w:rPr>
        <w:t>六、证监会新闻发言人就“两融”融资业务有关情况答记者问</w:t>
      </w:r>
      <w:bookmarkEnd w:id="10"/>
      <w:r>
        <w:rPr>
          <w:rFonts w:hint="eastAsia" w:ascii="黑体" w:hAnsi="黑体" w:eastAsia="黑体" w:cs="黑体"/>
          <w:sz w:val="32"/>
          <w:szCs w:val="32"/>
          <w:lang w:val="en-US" w:eastAsia="zh-CN"/>
        </w:rPr>
        <w:t>（2024年2月5日）</w:t>
      </w:r>
      <w:bookmarkEnd w:id="11"/>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b/>
          <w:bCs/>
          <w:kern w:val="0"/>
          <w:sz w:val="32"/>
          <w:szCs w:val="32"/>
          <w:lang w:val="en-US" w:eastAsia="zh-CN" w:bidi="ar"/>
        </w:rPr>
        <w:t>问：近期，“两融”融资业务全市场平均维持担保比例有所下降，请问业务风险如何？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答：截至目前，全市场平均维持担保比例226%，较年初有所下降，最低维持担保比例（平仓线）通常为130%。从实际平仓数据看，1月以来全市场累计平仓金额约9亿元，占融资规模的万分之6，且标的和投资者都高度分散，整体风险可控。当然，有些投资者主动卖股票归还融资，会形成融资余额被动下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投资者具体交易过程中，维持担保比例低于平仓线，并不意味着马上强制平仓。在当前市场形势下，为维护市场正常秩序，证监会将引导证券公司全方位做好客户服务，通过延长追保时间、动态下调平仓线，保持平仓线弹性，以减少强平风险和市场压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证监会将持续加强“两融”融资业务的日常监管，采取有效措施，确保融资业务平稳运行。</w:t>
      </w:r>
      <w:r>
        <w:rPr>
          <w:rFonts w:hint="default" w:ascii="仿宋" w:hAnsi="仿宋" w:eastAsia="仿宋" w:cs="仿宋"/>
          <w:b w:val="0"/>
          <w:bCs w:val="0"/>
          <w:sz w:val="32"/>
          <w:szCs w:val="32"/>
          <w:lang w:eastAsia="zh-CN"/>
        </w:rPr>
        <w:t>（来源：证监会</w:t>
      </w:r>
      <w:r>
        <w:rPr>
          <w:rFonts w:hint="eastAsia" w:ascii="仿宋" w:hAnsi="仿宋" w:eastAsia="仿宋" w:cs="仿宋"/>
          <w:b w:val="0"/>
          <w:bCs w:val="0"/>
          <w:sz w:val="32"/>
          <w:szCs w:val="32"/>
          <w:lang w:eastAsia="zh-CN"/>
        </w:rPr>
        <w:t>官网</w:t>
      </w:r>
      <w:r>
        <w:rPr>
          <w:rFonts w:hint="default"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0"/>
        <w:rPr>
          <w:rFonts w:hint="eastAsia" w:ascii="黑体" w:hAnsi="黑体" w:eastAsia="黑体" w:cs="黑体"/>
          <w:sz w:val="32"/>
          <w:szCs w:val="32"/>
          <w:lang w:val="en-US" w:eastAsia="zh-CN"/>
        </w:rPr>
      </w:pPr>
      <w:bookmarkStart w:id="12" w:name="_Toc1170457974"/>
      <w:bookmarkStart w:id="13" w:name="_Toc1240401546"/>
      <w:r>
        <w:rPr>
          <w:rFonts w:hint="eastAsia" w:ascii="黑体" w:hAnsi="黑体" w:eastAsia="黑体" w:cs="黑体"/>
          <w:b w:val="0"/>
          <w:color w:val="auto"/>
          <w:kern w:val="2"/>
          <w:sz w:val="32"/>
          <w:szCs w:val="32"/>
          <w:lang w:val="en-US" w:eastAsia="zh-CN" w:bidi="ar-SA"/>
        </w:rPr>
        <w:t>七、证监会新闻发言人就“两融”融券业务有关情况答记者问</w:t>
      </w:r>
      <w:bookmarkEnd w:id="12"/>
      <w:r>
        <w:rPr>
          <w:rFonts w:hint="eastAsia" w:ascii="黑体" w:hAnsi="黑体" w:eastAsia="黑体" w:cs="黑体"/>
          <w:sz w:val="32"/>
          <w:szCs w:val="32"/>
          <w:lang w:val="en-US" w:eastAsia="zh-CN"/>
        </w:rPr>
        <w:t>（2024年2月6日）</w:t>
      </w:r>
      <w:bookmarkEnd w:id="13"/>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b/>
          <w:bCs/>
          <w:kern w:val="0"/>
          <w:sz w:val="32"/>
          <w:szCs w:val="32"/>
          <w:lang w:val="en-US" w:eastAsia="zh-CN" w:bidi="ar"/>
        </w:rPr>
        <w:t>问：近期，证监会就进一步加强融券业务监管有哪些安排？</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答：经研究决定，我会对融券业务提出三方面进一步加强监管的措施：一是暂停新增转融券规模，以现转融券余额为上限，依法暂停新增证券公司转融券规模，存量逐步了结；二是要求证券公司加强对客户交易行为的管理，严禁向利用融券实施日内回转交易（变相T+0交易）的投资者提供融券；三是持续加大监管执法力度，我会将依法打击利用融券交易实施不当套利等违法违规行为，确保融券业务平稳运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近期，我会结合市场情况对融券业务采取了一系列加强监管的举措。相关制度实施以来，融券余额已下降24%，目前已降至637亿元，占A股流通市值的0.1%。</w:t>
      </w:r>
      <w:r>
        <w:rPr>
          <w:rFonts w:hint="default" w:ascii="仿宋" w:hAnsi="仿宋" w:eastAsia="仿宋" w:cs="仿宋"/>
          <w:b w:val="0"/>
          <w:bCs w:val="0"/>
          <w:sz w:val="32"/>
          <w:szCs w:val="32"/>
          <w:lang w:eastAsia="zh-CN"/>
        </w:rPr>
        <w:t>（来源：证监会</w:t>
      </w:r>
      <w:r>
        <w:rPr>
          <w:rFonts w:hint="eastAsia" w:ascii="仿宋" w:hAnsi="仿宋" w:eastAsia="仿宋" w:cs="仿宋"/>
          <w:b w:val="0"/>
          <w:bCs w:val="0"/>
          <w:sz w:val="32"/>
          <w:szCs w:val="32"/>
          <w:lang w:eastAsia="zh-CN"/>
        </w:rPr>
        <w:t>官网</w:t>
      </w:r>
      <w:r>
        <w:rPr>
          <w:rFonts w:hint="default" w:ascii="仿宋" w:hAnsi="仿宋" w:eastAsia="仿宋" w:cs="仿宋"/>
          <w:b w:val="0"/>
          <w:bCs w:val="0"/>
          <w:sz w:val="32"/>
          <w:szCs w:val="32"/>
          <w:lang w:eastAsia="zh-CN"/>
        </w:rPr>
        <w:t>）</w:t>
      </w:r>
    </w:p>
    <w:bookmarkEnd w:id="2"/>
    <w:p>
      <w:pPr>
        <w:keepNext w:val="0"/>
        <w:keepLines w:val="0"/>
        <w:pageBreakBefore w:val="0"/>
        <w:widowControl w:val="0"/>
        <w:kinsoku/>
        <w:wordWrap/>
        <w:overflowPunct/>
        <w:topLinePunct w:val="0"/>
        <w:autoSpaceDE/>
        <w:autoSpaceDN/>
        <w:bidi w:val="0"/>
        <w:adjustRightInd/>
        <w:snapToGrid/>
        <w:spacing w:before="0" w:line="240" w:lineRule="auto"/>
        <w:ind w:right="0" w:rightChars="0"/>
        <w:jc w:val="both"/>
        <w:textAlignment w:val="auto"/>
        <w:outlineLvl w:val="0"/>
        <w:rPr>
          <w:rFonts w:hint="eastAsia" w:ascii="黑体" w:hAnsi="黑体" w:eastAsia="黑体" w:cs="黑体"/>
          <w:b w:val="0"/>
          <w:bCs w:val="0"/>
          <w:sz w:val="32"/>
          <w:szCs w:val="32"/>
          <w:lang w:val="en-US" w:eastAsia="zh-CN"/>
        </w:rPr>
      </w:pPr>
      <w:r>
        <w:rPr>
          <w:rFonts w:hint="eastAsia" w:ascii="仿宋_GB2312" w:hAnsi="仿宋_GB2312" w:eastAsia="仿宋_GB2312" w:cs="仿宋_GB2312"/>
          <w:sz w:val="32"/>
          <w:szCs w:val="32"/>
          <w:lang w:val="en-US" w:eastAsia="zh-CN"/>
        </w:rPr>
        <w:br w:type="page"/>
      </w:r>
      <w:bookmarkStart w:id="14" w:name="_Toc1358856098"/>
      <w:r>
        <w:rPr>
          <w:rFonts w:hint="eastAsia" w:ascii="黑体" w:hAnsi="黑体" w:eastAsia="黑体" w:cs="黑体"/>
          <w:b w:val="0"/>
          <w:bCs w:val="0"/>
          <w:sz w:val="32"/>
          <w:szCs w:val="32"/>
          <w:lang w:val="en-US" w:eastAsia="zh-CN"/>
        </w:rPr>
        <w:t>【监管动态】</w:t>
      </w:r>
      <w:bookmarkEnd w:id="14"/>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0"/>
        <w:rPr>
          <w:rFonts w:hint="eastAsia" w:ascii="黑体" w:hAnsi="黑体" w:eastAsia="黑体" w:cs="黑体"/>
          <w:sz w:val="32"/>
          <w:szCs w:val="32"/>
          <w:lang w:val="en-US" w:eastAsia="zh-CN"/>
        </w:rPr>
      </w:pPr>
      <w:bookmarkStart w:id="15" w:name="_Toc1641851816_WPSOffice_Level1"/>
      <w:bookmarkStart w:id="16" w:name="_Toc1190493199"/>
      <w:r>
        <w:rPr>
          <w:rFonts w:hint="eastAsia" w:ascii="黑体" w:hAnsi="黑体" w:eastAsia="黑体" w:cs="黑体"/>
          <w:sz w:val="32"/>
          <w:szCs w:val="32"/>
          <w:lang w:val="en-US" w:eastAsia="zh-CN"/>
        </w:rPr>
        <w:t>一、宁夏证监局紧抓安全生产工作</w:t>
      </w:r>
      <w:bookmarkEnd w:id="15"/>
      <w:bookmarkEnd w:id="1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6月以来，宁夏证监局采取“四不两直”方式排查辖区证券期货经营机构安全生产落实情况，共抽查经营机构29家，发现各类风险隐患共8项，2024年2月5日，召开视频会议，就排查情况及发现问题进行通报。春节前，对前期专项检查发现问题机构开展“回头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0"/>
        <w:rPr>
          <w:rFonts w:hint="eastAsia" w:ascii="黑体" w:hAnsi="黑体" w:eastAsia="黑体" w:cs="黑体"/>
          <w:sz w:val="32"/>
          <w:szCs w:val="32"/>
          <w:lang w:val="en-US" w:eastAsia="zh-CN"/>
        </w:rPr>
      </w:pPr>
      <w:bookmarkStart w:id="17" w:name="_Toc192570849_WPSOffice_Level1"/>
      <w:bookmarkStart w:id="18" w:name="_Toc586624558"/>
      <w:r>
        <w:rPr>
          <w:rFonts w:hint="eastAsia" w:ascii="黑体" w:hAnsi="黑体" w:eastAsia="黑体" w:cs="黑体"/>
          <w:sz w:val="32"/>
          <w:szCs w:val="32"/>
          <w:lang w:val="en-US" w:eastAsia="zh-CN"/>
        </w:rPr>
        <w:t>二、宁夏证监局推进行业文化建设走深走实</w:t>
      </w:r>
      <w:bookmarkEnd w:id="17"/>
      <w:bookmarkEnd w:id="1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11月16日，召开证券基金行业文化建设座谈会，会议围绕“如何进一步推动‘合规、诚信、专业、稳健’行业文化建设”交流讨论。会议指出要持续巩固深化行业文化建设成果，不断提升从业人员职业素养和道德水平，进一步厚植金融报国情怀，服务经济社会高质量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11月16日，召开宁夏证券期货基金业协会廉洁文化建设委员会第一次会议。会议传达学习中央金融工作会议精神，交流当前辖区廉洁文化建设现状，分析问题成因和解决对策，围绕落实好廉洁文化建设要求，提出工作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0"/>
        <w:rPr>
          <w:rFonts w:hint="eastAsia" w:ascii="黑体" w:hAnsi="黑体" w:eastAsia="黑体" w:cs="黑体"/>
          <w:sz w:val="32"/>
          <w:szCs w:val="32"/>
          <w:lang w:val="en-US" w:eastAsia="zh-CN"/>
        </w:rPr>
      </w:pPr>
      <w:bookmarkStart w:id="19" w:name="_Toc2024187747_WPSOffice_Level1"/>
      <w:bookmarkStart w:id="20" w:name="_Toc179079482"/>
      <w:r>
        <w:rPr>
          <w:rFonts w:hint="eastAsia" w:ascii="黑体" w:hAnsi="黑体" w:eastAsia="黑体" w:cs="黑体"/>
          <w:sz w:val="32"/>
          <w:szCs w:val="32"/>
          <w:lang w:val="en-US" w:eastAsia="zh-CN"/>
        </w:rPr>
        <w:t>三、宁夏证监局提示做好网络和信息安全保障工作</w:t>
      </w:r>
      <w:bookmarkEnd w:id="19"/>
      <w:bookmarkEnd w:id="2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2024年2月6日发布通知，提醒辖区证券期货经营机构进一步加强网络和信息安全保障工作，强化责任担当，做好设备保障，提升应急能力。</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0"/>
        <w:rPr>
          <w:rFonts w:hint="eastAsia" w:ascii="黑体" w:hAnsi="黑体" w:eastAsia="黑体" w:cs="黑体"/>
          <w:b w:val="0"/>
          <w:bCs w:val="0"/>
          <w:sz w:val="32"/>
          <w:szCs w:val="32"/>
          <w:lang w:val="en-US" w:eastAsia="zh-CN"/>
        </w:rPr>
      </w:pPr>
      <w:r>
        <w:rPr>
          <w:rFonts w:hint="eastAsia" w:ascii="仿宋" w:hAnsi="仿宋" w:eastAsia="仿宋" w:cs="仿宋"/>
          <w:sz w:val="32"/>
          <w:szCs w:val="32"/>
          <w:lang w:val="en-US" w:eastAsia="zh-CN"/>
        </w:rPr>
        <w:br w:type="page"/>
      </w:r>
      <w:bookmarkStart w:id="21" w:name="_Toc1022643157"/>
      <w:r>
        <w:rPr>
          <w:rFonts w:hint="eastAsia" w:ascii="黑体" w:hAnsi="黑体" w:eastAsia="黑体" w:cs="黑体"/>
          <w:b w:val="0"/>
          <w:bCs w:val="0"/>
          <w:sz w:val="32"/>
          <w:szCs w:val="32"/>
          <w:lang w:val="en-US" w:eastAsia="zh-CN"/>
        </w:rPr>
        <w:t>【监管执法】</w:t>
      </w:r>
      <w:bookmarkEnd w:id="21"/>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outlineLvl w:val="9"/>
        <w:rPr>
          <w:rFonts w:hint="default"/>
          <w:lang w:val="en-US" w:eastAsia="zh-CN"/>
        </w:rPr>
      </w:pPr>
      <w:bookmarkStart w:id="22" w:name="_Toc2062641910"/>
      <w:r>
        <w:rPr>
          <w:rFonts w:hint="eastAsia" w:ascii="仿宋" w:hAnsi="仿宋" w:eastAsia="仿宋" w:cs="仿宋"/>
          <w:sz w:val="32"/>
          <w:szCs w:val="32"/>
          <w:lang w:val="en-US" w:eastAsia="zh-CN"/>
        </w:rPr>
        <w:t>一、2023年11月23日，招商证券银川宁安大街证券营业部李某某使用“付某”证券账户违规买卖股票，总金额成交776</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318.00元，亏损16100.00元，被中国证监会处以五万元罚款。</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lang w:val="en-US" w:eastAsia="zh-CN"/>
        </w:rPr>
        <w:t>二、2023年12月19日，原安信证券银川尹家渠北街证券营业部陈某</w:t>
      </w:r>
      <w:r>
        <w:rPr>
          <w:rFonts w:hint="eastAsia" w:ascii="仿宋" w:hAnsi="仿宋" w:eastAsia="仿宋" w:cs="仿宋"/>
          <w:color w:val="000000"/>
          <w:kern w:val="0"/>
          <w:sz w:val="32"/>
          <w:szCs w:val="32"/>
          <w:lang w:val="en-US" w:eastAsia="zh-CN" w:bidi="ar"/>
        </w:rPr>
        <w:t>私下接受“赵某”“张某龙”等9名客户的委托买卖证券</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并利用赵某、张某龙名下证券账户为陈某平、陈某文等6名亲属买卖证券</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累计交易总金额89,006,654.87元，未获取收益分成或报酬。</w:t>
      </w:r>
      <w:r>
        <w:rPr>
          <w:rFonts w:hint="eastAsia" w:ascii="仿宋" w:hAnsi="仿宋" w:eastAsia="仿宋" w:cs="仿宋"/>
          <w:sz w:val="32"/>
          <w:szCs w:val="32"/>
          <w:lang w:val="en-US" w:eastAsia="zh-CN"/>
        </w:rPr>
        <w:t>被宁夏证监局责令改正</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给予警告</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并处以十万元罚款。</w:t>
      </w:r>
      <w:bookmarkEnd w:id="22"/>
      <w:bookmarkStart w:id="23" w:name="_Toc98224623"/>
    </w:p>
    <w:bookmarkEnd w:id="23"/>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outlineLvl w:val="9"/>
        <w:rPr>
          <w:rFonts w:hint="eastAsia" w:ascii="黑体" w:hAnsi="黑体" w:eastAsia="黑体" w:cs="黑体"/>
          <w:b w:val="0"/>
          <w:bCs w:val="0"/>
          <w:sz w:val="32"/>
          <w:szCs w:val="32"/>
          <w:lang w:val="en-US" w:eastAsia="zh-CN"/>
        </w:rPr>
      </w:pPr>
      <w:r>
        <w:rPr>
          <w:rFonts w:hint="eastAsia" w:ascii="宋体" w:hAnsi="宋体" w:eastAsia="宋体" w:cs="宋体"/>
          <w:b/>
          <w:bCs/>
          <w:sz w:val="32"/>
          <w:szCs w:val="32"/>
          <w:lang w:val="en-US" w:eastAsia="zh-CN"/>
        </w:rPr>
        <w:br w:type="page"/>
      </w:r>
      <w:bookmarkStart w:id="24" w:name="_Toc1811865115"/>
      <w:r>
        <w:rPr>
          <w:rFonts w:hint="eastAsia" w:ascii="黑体" w:hAnsi="黑体" w:eastAsia="黑体" w:cs="黑体"/>
          <w:b w:val="0"/>
          <w:bCs w:val="0"/>
          <w:sz w:val="32"/>
          <w:szCs w:val="32"/>
          <w:lang w:val="en-US" w:eastAsia="zh-CN"/>
        </w:rPr>
        <w:t>【</w:t>
      </w:r>
      <w:r>
        <w:rPr>
          <w:rFonts w:hint="default" w:ascii="黑体" w:hAnsi="黑体" w:eastAsia="黑体" w:cs="黑体"/>
          <w:b w:val="0"/>
          <w:bCs w:val="0"/>
          <w:sz w:val="32"/>
          <w:szCs w:val="32"/>
          <w:lang w:eastAsia="zh-CN"/>
        </w:rPr>
        <w:t>监管</w:t>
      </w:r>
      <w:r>
        <w:rPr>
          <w:rFonts w:hint="eastAsia" w:ascii="黑体" w:hAnsi="黑体" w:eastAsia="黑体" w:cs="黑体"/>
          <w:b w:val="0"/>
          <w:bCs w:val="0"/>
          <w:sz w:val="32"/>
          <w:szCs w:val="32"/>
          <w:lang w:val="en-US" w:eastAsia="zh-CN"/>
        </w:rPr>
        <w:t>案例】</w:t>
      </w:r>
      <w:bookmarkEnd w:id="24"/>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方正小标宋_GBK" w:hAnsi="方正小标宋_GBK" w:eastAsia="方正小标宋_GBK" w:cs="方正小标宋_GBK"/>
          <w:color w:val="auto"/>
          <w:kern w:val="2"/>
          <w:sz w:val="44"/>
          <w:szCs w:val="44"/>
          <w:lang w:val="en-US" w:eastAsia="zh-CN" w:bidi="ar-SA"/>
        </w:rPr>
      </w:pPr>
      <w:bookmarkStart w:id="25" w:name="_Toc1476017352_WPSOffice_Level1"/>
      <w:bookmarkStart w:id="26" w:name="_Toc673421467"/>
      <w:r>
        <w:rPr>
          <w:rFonts w:hint="eastAsia" w:ascii="方正小标宋_GBK" w:hAnsi="方正小标宋_GBK" w:eastAsia="方正小标宋_GBK" w:cs="方正小标宋_GBK"/>
          <w:color w:val="auto"/>
          <w:kern w:val="2"/>
          <w:sz w:val="44"/>
          <w:szCs w:val="44"/>
          <w:lang w:val="en-US" w:eastAsia="zh-CN" w:bidi="ar-SA"/>
        </w:rPr>
        <w:t>近年从业人员炒股违规典型案例</w:t>
      </w:r>
      <w:bookmarkEnd w:id="25"/>
      <w:bookmarkEnd w:id="26"/>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jc w:val="both"/>
        <w:textAlignment w:val="auto"/>
        <w:outlineLvl w:val="9"/>
        <w:rPr>
          <w:rFonts w:hint="eastAsia" w:ascii="仿宋" w:hAnsi="仿宋" w:eastAsia="仿宋" w:cs="仿宋"/>
          <w:color w:val="000000"/>
          <w:kern w:val="0"/>
          <w:sz w:val="32"/>
          <w:szCs w:val="32"/>
          <w:lang w:val="en-US" w:eastAsia="zh-CN" w:bidi="ar"/>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案例1：</w:t>
      </w:r>
      <w:r>
        <w:rPr>
          <w:rFonts w:hint="eastAsia" w:ascii="仿宋" w:hAnsi="仿宋" w:eastAsia="仿宋" w:cs="仿宋"/>
          <w:color w:val="000000"/>
          <w:kern w:val="0"/>
          <w:sz w:val="32"/>
          <w:szCs w:val="32"/>
          <w:lang w:val="en-US" w:eastAsia="zh-CN" w:bidi="ar"/>
        </w:rPr>
        <w:t xml:space="preserve">2022年6月，厦门局发布行政处罚决定，某证券营业部客户经理柳某某，操作配偶证券账户买卖股票262笔，累计交易金额910.60万元，交易整体亏损。依规，监管部门责令其依法处理非法持有的股票，并处以3万元罚款。 </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案例2：</w:t>
      </w:r>
      <w:r>
        <w:rPr>
          <w:rFonts w:hint="eastAsia" w:ascii="仿宋" w:hAnsi="仿宋" w:eastAsia="仿宋" w:cs="仿宋"/>
          <w:color w:val="000000"/>
          <w:kern w:val="0"/>
          <w:sz w:val="32"/>
          <w:szCs w:val="32"/>
          <w:lang w:val="en-US" w:eastAsia="zh-CN" w:bidi="ar"/>
        </w:rPr>
        <w:t>2022年7月，宁波局发布行政处罚决定，某证券公司保荐代表人金某某，通过朋友李某原买入股票10.5万股</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获利104.9</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万元。按照金某某的指示</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李某原将上述本金及获利共计235万元转入金某某配偶王某招商银行账户。同月</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王某将收到的款项转给金某某。依规，监管部门没收其违法所得104.9</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万元，并处以100万元罚款。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案例3：</w:t>
      </w:r>
      <w:r>
        <w:rPr>
          <w:rFonts w:hint="eastAsia" w:ascii="仿宋" w:hAnsi="仿宋" w:eastAsia="仿宋" w:cs="仿宋"/>
          <w:color w:val="000000"/>
          <w:kern w:val="0"/>
          <w:sz w:val="32"/>
          <w:szCs w:val="32"/>
          <w:lang w:val="en-US" w:eastAsia="zh-CN" w:bidi="ar"/>
        </w:rPr>
        <w:t>2022年11月，深圳局发布行政处罚决定，某证券营业部投资顾问黎某某，控制使用配偶“夏某琪”、其父“黎某晓”、其母“张某苔”证券账户交易股票，总成交金额合计1832.4</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万元，盈利10.0</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万元。依规，监管部门没收其违法所得10.0</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万元，并处以10万元罚款。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案例4：</w:t>
      </w:r>
      <w:r>
        <w:rPr>
          <w:rFonts w:hint="eastAsia" w:ascii="仿宋" w:hAnsi="仿宋" w:eastAsia="仿宋" w:cs="仿宋"/>
          <w:color w:val="000000"/>
          <w:kern w:val="0"/>
          <w:sz w:val="32"/>
          <w:szCs w:val="32"/>
          <w:lang w:val="en-US" w:eastAsia="zh-CN" w:bidi="ar"/>
        </w:rPr>
        <w:t>2022年</w:t>
      </w:r>
      <w:r>
        <w:rPr>
          <w:rFonts w:hint="default" w:ascii="仿宋" w:hAnsi="仿宋" w:eastAsia="仿宋" w:cs="仿宋"/>
          <w:color w:val="000000"/>
          <w:kern w:val="0"/>
          <w:sz w:val="32"/>
          <w:szCs w:val="32"/>
          <w:lang w:val="en-US" w:eastAsia="zh-CN" w:bidi="ar"/>
        </w:rPr>
        <w:t>12</w:t>
      </w:r>
      <w:r>
        <w:rPr>
          <w:rFonts w:hint="eastAsia" w:ascii="仿宋" w:hAnsi="仿宋" w:eastAsia="仿宋" w:cs="仿宋"/>
          <w:color w:val="000000"/>
          <w:kern w:val="0"/>
          <w:sz w:val="32"/>
          <w:szCs w:val="32"/>
          <w:lang w:val="en-US" w:eastAsia="zh-CN" w:bidi="ar"/>
        </w:rPr>
        <w:t>月，深圳局发布行政处罚决定，某证券营业部理财顾问王某某，控制使用母亲、配偶等证券账户买卖股票，累计成交金额2487.45万元，亏损22.04万元。依规，监管部门对其处以5万元罚款。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案例5：</w:t>
      </w:r>
      <w:r>
        <w:rPr>
          <w:rFonts w:hint="eastAsia" w:ascii="仿宋" w:hAnsi="仿宋" w:eastAsia="仿宋" w:cs="仿宋"/>
          <w:color w:val="000000"/>
          <w:kern w:val="0"/>
          <w:sz w:val="32"/>
          <w:szCs w:val="32"/>
          <w:lang w:val="en-US" w:eastAsia="zh-CN" w:bidi="ar"/>
        </w:rPr>
        <w:t>2023年1月，深圳局发布行政处罚决定，某证券公司工作人员罗某，使用母亲、配偶账户买卖股票，累计成交金额3631.07万元，亏损5.29万元。依规，监管部门对其处以6万元罚款。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案例6：</w:t>
      </w:r>
      <w:r>
        <w:rPr>
          <w:rFonts w:hint="eastAsia" w:ascii="仿宋" w:hAnsi="仿宋" w:eastAsia="仿宋" w:cs="仿宋"/>
          <w:color w:val="000000"/>
          <w:kern w:val="0"/>
          <w:sz w:val="32"/>
          <w:szCs w:val="32"/>
          <w:lang w:val="en-US" w:eastAsia="zh-CN" w:bidi="ar"/>
        </w:rPr>
        <w:t>2023年2月，证监会发布行政处罚决定，某证券公司工作人员管某，控制使用“周某华”“郑某英”、本人“管萱”证券账户进行股票买卖，累计成交金额33083.11万元，收益212.54万元。依规，监管部门没收其违法所得212.54万元，并处以212万元罚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案例7：</w:t>
      </w:r>
      <w:r>
        <w:rPr>
          <w:rFonts w:hint="eastAsia" w:ascii="仿宋" w:hAnsi="仿宋" w:eastAsia="仿宋" w:cs="仿宋"/>
          <w:color w:val="000000"/>
          <w:kern w:val="0"/>
          <w:sz w:val="32"/>
          <w:szCs w:val="32"/>
          <w:lang w:val="en-US" w:eastAsia="zh-CN" w:bidi="ar"/>
        </w:rPr>
        <w:t>2023年4月，黑龙江局发布行政处罚决定，某证券分支机构总经理季某某，使用配偶“唐某娟”证券账户，累计成交金额1638.21万元，交易整体亏损。依规，监管部门责令其依法处理非法持有的股票和其他具有股权性质的证券，并处以5万元罚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案例8：</w:t>
      </w:r>
      <w:r>
        <w:rPr>
          <w:rFonts w:hint="eastAsia" w:ascii="仿宋" w:hAnsi="仿宋" w:eastAsia="仿宋" w:cs="仿宋"/>
          <w:color w:val="000000"/>
          <w:kern w:val="0"/>
          <w:sz w:val="32"/>
          <w:szCs w:val="32"/>
          <w:lang w:val="en-US" w:eastAsia="zh-CN" w:bidi="ar"/>
        </w:rPr>
        <w:t>2023年6月，安徽局发布行政处罚决定，某证券公司工作人员杨某某，控制使用“赵某文”证券账户从事股票交易，累计交易390只股票，累计交易金额90816.24万元，交易整体亏损。依规，监管部门对其处以25万元罚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color w:val="000000"/>
          <w:kern w:val="0"/>
          <w:sz w:val="32"/>
          <w:szCs w:val="32"/>
          <w:lang w:val="en-US" w:eastAsia="zh-CN" w:bidi="ar"/>
        </w:rPr>
        <w:t>案例9：</w:t>
      </w:r>
      <w:r>
        <w:rPr>
          <w:rFonts w:hint="eastAsia" w:ascii="仿宋" w:hAnsi="仿宋" w:eastAsia="仿宋" w:cs="仿宋"/>
          <w:color w:val="000000"/>
          <w:kern w:val="0"/>
          <w:sz w:val="32"/>
          <w:szCs w:val="32"/>
          <w:lang w:val="en-US" w:eastAsia="zh-CN" w:bidi="ar"/>
        </w:rPr>
        <w:t>2023年10月，上海局发布行政处罚决定，某证券营业部工作人员汪某某，借用“冼某某”账户持有、买卖股票，交易金额总计6137.39万元，亏损40.36万元。依规，监管部门责令其依法处理非法持有的证券，并处以10万元罚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案例10：</w:t>
      </w:r>
      <w:r>
        <w:rPr>
          <w:rFonts w:hint="eastAsia" w:ascii="仿宋" w:hAnsi="仿宋" w:eastAsia="仿宋" w:cs="仿宋"/>
          <w:color w:val="000000"/>
          <w:kern w:val="0"/>
          <w:sz w:val="32"/>
          <w:szCs w:val="32"/>
          <w:lang w:val="en-US" w:eastAsia="zh-CN" w:bidi="ar"/>
        </w:rPr>
        <w:t>2023年11月，天津局发布行政处罚决定，某证券分公司理财经理王某，借用“王某1”“孙某然”“李某”“王某祥”证券账户违规买卖证券，累计交易金额7054.46万元</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亏损54.11万元。依规，监管部门对其处以3万元罚款。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案例11：</w:t>
      </w:r>
      <w:r>
        <w:rPr>
          <w:rFonts w:hint="eastAsia" w:ascii="仿宋" w:hAnsi="仿宋" w:eastAsia="仿宋" w:cs="仿宋"/>
          <w:color w:val="000000"/>
          <w:kern w:val="0"/>
          <w:sz w:val="32"/>
          <w:szCs w:val="32"/>
          <w:lang w:val="en-US" w:eastAsia="zh-CN" w:bidi="ar"/>
        </w:rPr>
        <w:t>2023年12月，北京局发布行政处罚决定，某证券公司工作人员赵某某，使用“杨某勤”证券账户买卖股票，累计成交金额21257.31万元</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亏损71.51万元。依规，监管部门对其处以10万元罚款。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案例12：</w:t>
      </w:r>
      <w:r>
        <w:rPr>
          <w:rFonts w:hint="eastAsia" w:ascii="仿宋" w:hAnsi="仿宋" w:eastAsia="仿宋" w:cs="仿宋"/>
          <w:color w:val="000000"/>
          <w:kern w:val="0"/>
          <w:sz w:val="32"/>
          <w:szCs w:val="32"/>
          <w:lang w:val="en-US" w:eastAsia="zh-CN" w:bidi="ar"/>
        </w:rPr>
        <w:t>2024年1月，安徽局发布行政处罚决定，某证券投资咨询机构工作人员唐某某，控制使用本人证券账户从事股票交易，累计交易15只股票，整体交易亏损。依规，监管部门对其处以3万元罚款。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3"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案例13：</w:t>
      </w:r>
      <w:r>
        <w:rPr>
          <w:rFonts w:hint="eastAsia" w:ascii="仿宋" w:hAnsi="仿宋" w:eastAsia="仿宋" w:cs="仿宋"/>
          <w:color w:val="000000"/>
          <w:kern w:val="0"/>
          <w:sz w:val="32"/>
          <w:szCs w:val="32"/>
          <w:lang w:val="en-US" w:eastAsia="zh-CN" w:bidi="ar"/>
        </w:rPr>
        <w:t>2024年2月，广西局发布行政处罚决定，某证券营业部总经理周某某，使用配偶“李某影”证券账户买卖股票，交易金额不少于312万元。依规，监管部门对其处以3万元罚款。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（以上来源于证监会官网）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东文宋体">
    <w:altName w:val="方正书宋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FCF6A7"/>
    <w:rsid w:val="2FFFBB41"/>
    <w:rsid w:val="4BFFEF3C"/>
    <w:rsid w:val="5FBDC6A6"/>
    <w:rsid w:val="7DFD56B1"/>
    <w:rsid w:val="AA7EC524"/>
    <w:rsid w:val="D6F98156"/>
    <w:rsid w:val="DBFE52D8"/>
    <w:rsid w:val="DDFCF6A7"/>
    <w:rsid w:val="E7FF52BE"/>
    <w:rsid w:val="EF1B5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Chars="200" w:firstLine="420" w:firstLineChars="200"/>
    </w:pPr>
    <w:rPr>
      <w:rFonts w:ascii="Times New Roman"/>
    </w:rPr>
  </w:style>
  <w:style w:type="paragraph" w:styleId="3">
    <w:name w:val="Body Text"/>
    <w:basedOn w:val="1"/>
    <w:next w:val="1"/>
    <w:qFormat/>
    <w:uiPriority w:val="0"/>
    <w:pPr>
      <w:spacing w:before="0" w:after="140" w:line="276" w:lineRule="auto"/>
    </w:pPr>
  </w:style>
  <w:style w:type="paragraph" w:styleId="4">
    <w:name w:val="toc 1"/>
    <w:basedOn w:val="1"/>
    <w:next w:val="1"/>
    <w:qFormat/>
    <w:uiPriority w:val="0"/>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2024-02-25T06:56:00Z</dcterms:created>
  <dc:creator>穆澜</dc:creator>
  <cp:lastModifiedBy>曹希强</cp:lastModifiedBy>
  <dcterms:modified xsi:type="dcterms:W3CDTF">2024-02-26T17:58:01Z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F84594D995EF81658E41D865C95C77DD</vt:lpwstr>
  </property>
</Properties>
</file>